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05" w:rsidRPr="006075D2" w:rsidRDefault="004F6305" w:rsidP="004F6305">
      <w:pPr>
        <w:spacing w:after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075D2">
        <w:rPr>
          <w:rFonts w:ascii="Times New Roman CYR" w:hAnsi="Times New Roman CYR"/>
          <w:b/>
          <w:sz w:val="28"/>
          <w:szCs w:val="28"/>
        </w:rPr>
        <w:t>Генеральный план МО СП «Верхнеталецкое» Хоринского района</w:t>
      </w:r>
    </w:p>
    <w:p w:rsidR="004F6305" w:rsidRPr="006075D2" w:rsidRDefault="004F6305" w:rsidP="004F6305">
      <w:pPr>
        <w:spacing w:after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4F6305" w:rsidRPr="006075D2" w:rsidRDefault="004F6305" w:rsidP="004F6305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075D2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Генеральный план поселения</w:t>
      </w: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 xml:space="preserve">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4F6305" w:rsidRPr="006075D2" w:rsidRDefault="004F6305" w:rsidP="004F6305">
      <w:pPr>
        <w:spacing w:after="0"/>
        <w:ind w:firstLine="709"/>
        <w:jc w:val="both"/>
        <w:rPr>
          <w:rFonts w:ascii="Times New Roman CYR" w:eastAsia="Calibri" w:hAnsi="Times New Roman CYR" w:cs="Times New Roman"/>
          <w:sz w:val="28"/>
          <w:szCs w:val="28"/>
          <w:lang w:eastAsia="en-US"/>
        </w:rPr>
      </w:pP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>Генеральный план устанавливает:</w:t>
      </w:r>
    </w:p>
    <w:p w:rsidR="004F6305" w:rsidRPr="006075D2" w:rsidRDefault="004F6305" w:rsidP="006075D2">
      <w:pPr>
        <w:pStyle w:val="a3"/>
        <w:numPr>
          <w:ilvl w:val="0"/>
          <w:numId w:val="4"/>
        </w:numPr>
        <w:spacing w:after="0"/>
        <w:jc w:val="both"/>
        <w:rPr>
          <w:rFonts w:ascii="Times New Roman CYR" w:eastAsia="Calibri" w:hAnsi="Times New Roman CYR" w:cs="Times New Roman"/>
          <w:sz w:val="28"/>
          <w:szCs w:val="28"/>
          <w:lang w:eastAsia="en-US"/>
        </w:rPr>
      </w:pP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>функциональное зонирование территории сельского поселения;</w:t>
      </w:r>
    </w:p>
    <w:p w:rsidR="004F6305" w:rsidRPr="006075D2" w:rsidRDefault="004F6305" w:rsidP="006075D2">
      <w:pPr>
        <w:pStyle w:val="a3"/>
        <w:numPr>
          <w:ilvl w:val="0"/>
          <w:numId w:val="4"/>
        </w:numPr>
        <w:spacing w:after="0"/>
        <w:jc w:val="both"/>
        <w:rPr>
          <w:rFonts w:ascii="Times New Roman CYR" w:eastAsia="Calibri" w:hAnsi="Times New Roman CYR" w:cs="Times New Roman"/>
          <w:sz w:val="28"/>
          <w:szCs w:val="28"/>
          <w:lang w:eastAsia="en-US"/>
        </w:rPr>
      </w:pP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>границы населенных пунктов, входящих в состав поселения;</w:t>
      </w:r>
    </w:p>
    <w:p w:rsidR="004F6305" w:rsidRPr="006075D2" w:rsidRDefault="004F6305" w:rsidP="006075D2">
      <w:pPr>
        <w:pStyle w:val="a3"/>
        <w:numPr>
          <w:ilvl w:val="0"/>
          <w:numId w:val="4"/>
        </w:numPr>
        <w:spacing w:after="0"/>
        <w:jc w:val="both"/>
        <w:rPr>
          <w:rFonts w:ascii="Times New Roman CYR" w:eastAsia="Calibri" w:hAnsi="Times New Roman CYR" w:cs="Times New Roman"/>
          <w:sz w:val="28"/>
          <w:szCs w:val="28"/>
          <w:lang w:eastAsia="en-US"/>
        </w:rPr>
      </w:pP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4F6305" w:rsidRPr="006075D2" w:rsidRDefault="004F6305" w:rsidP="006075D2">
      <w:pPr>
        <w:pStyle w:val="a3"/>
        <w:numPr>
          <w:ilvl w:val="0"/>
          <w:numId w:val="4"/>
        </w:numPr>
        <w:spacing w:after="0"/>
        <w:jc w:val="both"/>
        <w:rPr>
          <w:rFonts w:ascii="Times New Roman CYR" w:eastAsia="Calibri" w:hAnsi="Times New Roman CYR" w:cs="Times New Roman"/>
          <w:sz w:val="28"/>
          <w:szCs w:val="28"/>
          <w:lang w:eastAsia="en-US"/>
        </w:rPr>
      </w:pP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>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4F6305" w:rsidRPr="006075D2" w:rsidRDefault="004F6305" w:rsidP="006075D2">
      <w:pPr>
        <w:pStyle w:val="a3"/>
        <w:numPr>
          <w:ilvl w:val="0"/>
          <w:numId w:val="4"/>
        </w:numPr>
        <w:spacing w:after="0"/>
        <w:jc w:val="both"/>
        <w:rPr>
          <w:rFonts w:ascii="Times New Roman CYR" w:eastAsia="Calibri" w:hAnsi="Times New Roman CYR" w:cs="Times New Roman"/>
          <w:sz w:val="28"/>
          <w:szCs w:val="28"/>
          <w:lang w:eastAsia="en-US"/>
        </w:rPr>
      </w:pP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>характер развития сети транспортной, инженерной, социальной и иных инфраструктур.</w:t>
      </w:r>
    </w:p>
    <w:p w:rsidR="004F6305" w:rsidRPr="006075D2" w:rsidRDefault="004F6305" w:rsidP="004F6305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075D2">
        <w:rPr>
          <w:rFonts w:ascii="Times New Roman CYR" w:eastAsia="Calibri" w:hAnsi="Times New Roman CYR" w:cs="Times New Roman"/>
          <w:sz w:val="28"/>
          <w:szCs w:val="28"/>
          <w:lang w:eastAsia="en-US"/>
        </w:rPr>
        <w:t>Генеральный план разработан на расчетный срок до 2034 года.</w:t>
      </w:r>
    </w:p>
    <w:p w:rsidR="004F6305" w:rsidRPr="006075D2" w:rsidRDefault="004F6305" w:rsidP="004F6305">
      <w:pPr>
        <w:spacing w:after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4F6305" w:rsidRPr="006075D2" w:rsidRDefault="00651D04" w:rsidP="004F6305">
      <w:pPr>
        <w:spacing w:after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075D2">
        <w:rPr>
          <w:rFonts w:ascii="Times New Roman CYR" w:hAnsi="Times New Roman CYR"/>
          <w:b/>
          <w:sz w:val="28"/>
          <w:szCs w:val="28"/>
        </w:rPr>
        <w:t xml:space="preserve">1. </w:t>
      </w:r>
      <w:r w:rsidR="004F6305" w:rsidRPr="006075D2">
        <w:rPr>
          <w:rFonts w:ascii="Times New Roman CYR" w:hAnsi="Times New Roman CYR"/>
          <w:b/>
          <w:sz w:val="28"/>
          <w:szCs w:val="28"/>
        </w:rPr>
        <w:t>Перспективная численность населения</w:t>
      </w:r>
    </w:p>
    <w:p w:rsidR="004F6305" w:rsidRPr="006075D2" w:rsidRDefault="004F6305" w:rsidP="004F6305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075D2">
        <w:rPr>
          <w:rFonts w:ascii="Times New Roman CYR" w:hAnsi="Times New Roman CYR"/>
          <w:sz w:val="28"/>
          <w:szCs w:val="28"/>
        </w:rPr>
        <w:t xml:space="preserve">Численность населения на первую очередь строительства и расчетный срок определяется на основе данных о перспективах развития поселения в системе расселения и демографического прогноза естественного и механического прироста населения. </w:t>
      </w:r>
    </w:p>
    <w:p w:rsidR="00651D04" w:rsidRPr="006075D2" w:rsidRDefault="00651D04" w:rsidP="004F6305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8952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9"/>
        <w:gridCol w:w="1842"/>
        <w:gridCol w:w="1701"/>
        <w:gridCol w:w="1640"/>
      </w:tblGrid>
      <w:tr w:rsidR="004F6305" w:rsidRPr="006075D2" w:rsidTr="00526F1A">
        <w:trPr>
          <w:trHeight w:hRule="exact" w:val="1128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526F1A">
            <w:pPr>
              <w:shd w:val="clear" w:color="auto" w:fill="FFFFFF"/>
              <w:spacing w:after="0"/>
              <w:jc w:val="center"/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526F1A">
            <w:pPr>
              <w:shd w:val="clear" w:color="auto" w:fill="FFFFFF"/>
              <w:spacing w:after="0"/>
              <w:jc w:val="center"/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526F1A">
            <w:pPr>
              <w:shd w:val="clear" w:color="auto" w:fill="FFFFFF"/>
              <w:spacing w:after="0"/>
              <w:jc w:val="center"/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  <w:t>Численность</w:t>
            </w:r>
          </w:p>
          <w:p w:rsidR="004F6305" w:rsidRPr="006075D2" w:rsidRDefault="004F6305" w:rsidP="00526F1A">
            <w:pPr>
              <w:shd w:val="clear" w:color="auto" w:fill="FFFFFF"/>
              <w:spacing w:after="0"/>
              <w:jc w:val="center"/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  <w:t>на 1 очередь (2023 год)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526F1A">
            <w:pPr>
              <w:shd w:val="clear" w:color="auto" w:fill="FFFFFF"/>
              <w:spacing w:after="0"/>
              <w:jc w:val="center"/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  <w:t>Численность</w:t>
            </w:r>
          </w:p>
          <w:p w:rsidR="004F6305" w:rsidRPr="006075D2" w:rsidRDefault="004F6305" w:rsidP="00526F1A">
            <w:pPr>
              <w:shd w:val="clear" w:color="auto" w:fill="FFFFFF"/>
              <w:spacing w:after="0"/>
              <w:jc w:val="center"/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Cs/>
                <w:spacing w:val="-7"/>
                <w:sz w:val="28"/>
                <w:szCs w:val="28"/>
              </w:rPr>
              <w:t>на расч.срок (2033 год)</w:t>
            </w:r>
          </w:p>
        </w:tc>
      </w:tr>
      <w:tr w:rsidR="004F6305" w:rsidRPr="006075D2" w:rsidTr="00526F1A">
        <w:trPr>
          <w:trHeight w:hRule="exact" w:val="423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село Верхние Тальцы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1136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1190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1240</w:t>
            </w:r>
          </w:p>
        </w:tc>
      </w:tr>
      <w:tr w:rsidR="004F6305" w:rsidRPr="006075D2" w:rsidTr="00526F1A">
        <w:trPr>
          <w:trHeight w:hRule="exact" w:val="423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село Додо-Гол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280</w:t>
            </w:r>
          </w:p>
        </w:tc>
      </w:tr>
      <w:tr w:rsidR="004F6305" w:rsidRPr="006075D2" w:rsidTr="00526F1A">
        <w:trPr>
          <w:trHeight w:hRule="exact" w:val="423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right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1350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  <w:t>1440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  <w:t>1520</w:t>
            </w:r>
          </w:p>
        </w:tc>
      </w:tr>
    </w:tbl>
    <w:p w:rsidR="004F6305" w:rsidRPr="006075D2" w:rsidRDefault="004F6305" w:rsidP="004F6305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4F6305" w:rsidRPr="006075D2" w:rsidRDefault="00651D04" w:rsidP="004F6305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6075D2">
        <w:rPr>
          <w:rFonts w:ascii="Times New Roman CYR" w:hAnsi="Times New Roman CYR"/>
          <w:b/>
          <w:sz w:val="28"/>
          <w:szCs w:val="28"/>
        </w:rPr>
        <w:lastRenderedPageBreak/>
        <w:t xml:space="preserve">2. </w:t>
      </w:r>
      <w:r w:rsidR="004F6305" w:rsidRPr="006075D2">
        <w:rPr>
          <w:rFonts w:ascii="Times New Roman CYR" w:hAnsi="Times New Roman CYR"/>
          <w:b/>
          <w:sz w:val="28"/>
          <w:szCs w:val="28"/>
        </w:rPr>
        <w:t>Жилищное строительство</w:t>
      </w:r>
    </w:p>
    <w:p w:rsidR="004F6305" w:rsidRPr="006075D2" w:rsidRDefault="004F6305" w:rsidP="004F6305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075D2">
        <w:rPr>
          <w:rFonts w:ascii="Times New Roman CYR" w:hAnsi="Times New Roman CYR"/>
          <w:sz w:val="28"/>
          <w:szCs w:val="28"/>
        </w:rPr>
        <w:t xml:space="preserve">Генеральным планом сельского поселения предполагается прибавление жилого фонда за счет увеличения площади  сел со строительством индивидуальных жилых домов усадебного типа. </w:t>
      </w:r>
    </w:p>
    <w:p w:rsidR="004F6305" w:rsidRPr="006075D2" w:rsidRDefault="004F6305" w:rsidP="004F6305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608"/>
        <w:gridCol w:w="2410"/>
        <w:gridCol w:w="2237"/>
      </w:tblGrid>
      <w:tr w:rsidR="004F6305" w:rsidRPr="006075D2" w:rsidTr="00526F1A">
        <w:trPr>
          <w:trHeight w:val="654"/>
          <w:jc w:val="center"/>
        </w:trPr>
        <w:tc>
          <w:tcPr>
            <w:tcW w:w="2040" w:type="dxa"/>
            <w:vAlign w:val="center"/>
          </w:tcPr>
          <w:p w:rsidR="004F6305" w:rsidRPr="006075D2" w:rsidRDefault="004F6305" w:rsidP="00526F1A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2608" w:type="dxa"/>
            <w:vAlign w:val="center"/>
          </w:tcPr>
          <w:p w:rsidR="004F6305" w:rsidRPr="006075D2" w:rsidRDefault="004F6305" w:rsidP="00526F1A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  <w:t>Направления территориального развития</w:t>
            </w:r>
          </w:p>
        </w:tc>
        <w:tc>
          <w:tcPr>
            <w:tcW w:w="4647" w:type="dxa"/>
            <w:gridSpan w:val="2"/>
            <w:vAlign w:val="center"/>
          </w:tcPr>
          <w:p w:rsidR="004F6305" w:rsidRPr="006075D2" w:rsidRDefault="004F6305" w:rsidP="00526F1A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  <w:t>Площадь проектируемой жилой застройки, га</w:t>
            </w:r>
          </w:p>
        </w:tc>
      </w:tr>
      <w:tr w:rsidR="004F6305" w:rsidRPr="006075D2" w:rsidTr="00526F1A">
        <w:trPr>
          <w:jc w:val="center"/>
        </w:trPr>
        <w:tc>
          <w:tcPr>
            <w:tcW w:w="2040" w:type="dxa"/>
            <w:vMerge w:val="restart"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село Верхние Тальцы</w:t>
            </w:r>
          </w:p>
        </w:tc>
        <w:tc>
          <w:tcPr>
            <w:tcW w:w="2608" w:type="dxa"/>
            <w:vMerge w:val="restart"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в границах существующей застройки</w:t>
            </w:r>
          </w:p>
        </w:tc>
        <w:tc>
          <w:tcPr>
            <w:tcW w:w="2410" w:type="dxa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  <w:t>1 очередь – 2023 г.</w:t>
            </w:r>
          </w:p>
        </w:tc>
        <w:tc>
          <w:tcPr>
            <w:tcW w:w="2237" w:type="dxa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  <w:t>Расчетный срок – 2033 г.</w:t>
            </w:r>
          </w:p>
        </w:tc>
      </w:tr>
      <w:tr w:rsidR="004F6305" w:rsidRPr="006075D2" w:rsidTr="00526F1A">
        <w:trPr>
          <w:jc w:val="center"/>
        </w:trPr>
        <w:tc>
          <w:tcPr>
            <w:tcW w:w="2040" w:type="dxa"/>
            <w:vMerge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vMerge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gridSpan w:val="2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bCs/>
                <w:sz w:val="28"/>
                <w:szCs w:val="28"/>
                <w:lang w:eastAsia="en-US"/>
              </w:rPr>
              <w:t>30 уч. по 0,20 га = 6,0 га</w:t>
            </w:r>
          </w:p>
        </w:tc>
      </w:tr>
      <w:tr w:rsidR="004F6305" w:rsidRPr="006075D2" w:rsidTr="00526F1A">
        <w:trPr>
          <w:trHeight w:val="447"/>
          <w:jc w:val="center"/>
        </w:trPr>
        <w:tc>
          <w:tcPr>
            <w:tcW w:w="2040" w:type="dxa"/>
            <w:vMerge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vMerge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  <w:t>14 уч. по 0,20 га</w:t>
            </w:r>
          </w:p>
        </w:tc>
        <w:tc>
          <w:tcPr>
            <w:tcW w:w="2237" w:type="dxa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  <w:t>16 уч. по 0,20 га</w:t>
            </w:r>
          </w:p>
        </w:tc>
      </w:tr>
      <w:tr w:rsidR="004F6305" w:rsidRPr="006075D2" w:rsidTr="00526F1A">
        <w:trPr>
          <w:jc w:val="center"/>
        </w:trPr>
        <w:tc>
          <w:tcPr>
            <w:tcW w:w="2040" w:type="dxa"/>
            <w:vMerge w:val="restart"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село Додо-Гол</w:t>
            </w:r>
          </w:p>
        </w:tc>
        <w:tc>
          <w:tcPr>
            <w:tcW w:w="2608" w:type="dxa"/>
            <w:vMerge w:val="restart"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в границах существующей застройки</w:t>
            </w:r>
          </w:p>
        </w:tc>
        <w:tc>
          <w:tcPr>
            <w:tcW w:w="4647" w:type="dxa"/>
            <w:gridSpan w:val="2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bCs/>
                <w:sz w:val="28"/>
                <w:szCs w:val="28"/>
                <w:lang w:eastAsia="en-US"/>
              </w:rPr>
              <w:t>19 уч. по 0,20 га = 3,80 га</w:t>
            </w:r>
          </w:p>
        </w:tc>
      </w:tr>
      <w:tr w:rsidR="004F6305" w:rsidRPr="006075D2" w:rsidTr="00526F1A">
        <w:trPr>
          <w:jc w:val="center"/>
        </w:trPr>
        <w:tc>
          <w:tcPr>
            <w:tcW w:w="2040" w:type="dxa"/>
            <w:vMerge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vMerge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  <w:t>9 уч. по 0,20 га</w:t>
            </w:r>
          </w:p>
        </w:tc>
        <w:tc>
          <w:tcPr>
            <w:tcW w:w="2237" w:type="dxa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  <w:t>10 уч. по 0,20 га</w:t>
            </w:r>
          </w:p>
        </w:tc>
      </w:tr>
      <w:tr w:rsidR="004F6305" w:rsidRPr="006075D2" w:rsidTr="00526F1A">
        <w:trPr>
          <w:jc w:val="center"/>
        </w:trPr>
        <w:tc>
          <w:tcPr>
            <w:tcW w:w="2040" w:type="dxa"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08" w:type="dxa"/>
            <w:vAlign w:val="center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gridSpan w:val="2"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bCs/>
                <w:sz w:val="28"/>
                <w:szCs w:val="28"/>
                <w:lang w:eastAsia="en-US"/>
              </w:rPr>
            </w:pPr>
            <w:r w:rsidRPr="006075D2">
              <w:rPr>
                <w:rFonts w:ascii="Times New Roman CYR" w:eastAsia="Calibri" w:hAnsi="Times New Roman CYR" w:cs="Times New Roman"/>
                <w:b/>
                <w:bCs/>
                <w:sz w:val="28"/>
                <w:szCs w:val="28"/>
                <w:lang w:eastAsia="en-US"/>
              </w:rPr>
              <w:t>49 уч. по 0,20 га=9,80 га</w:t>
            </w:r>
          </w:p>
        </w:tc>
      </w:tr>
    </w:tbl>
    <w:p w:rsidR="004F6305" w:rsidRPr="006075D2" w:rsidRDefault="004F6305" w:rsidP="004F6305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4F6305" w:rsidRPr="006075D2" w:rsidRDefault="00651D04" w:rsidP="004F6305">
      <w:pPr>
        <w:spacing w:after="0"/>
        <w:ind w:left="720"/>
        <w:contextualSpacing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3. </w:t>
      </w:r>
      <w:r w:rsidR="004F6305" w:rsidRPr="006075D2">
        <w:rPr>
          <w:rFonts w:ascii="Times New Roman CYR" w:eastAsia="Times New Roman" w:hAnsi="Times New Roman CYR" w:cs="Times New Roman"/>
          <w:b/>
          <w:sz w:val="28"/>
          <w:szCs w:val="28"/>
        </w:rPr>
        <w:t>Стратегические направления развития сельского поселения</w:t>
      </w:r>
    </w:p>
    <w:p w:rsidR="004F6305" w:rsidRPr="006075D2" w:rsidRDefault="004F6305" w:rsidP="004F6305">
      <w:pPr>
        <w:spacing w:after="0"/>
        <w:ind w:left="720"/>
        <w:contextualSpacing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1. Развитие сельского хозяйства</w:t>
      </w:r>
    </w:p>
    <w:p w:rsidR="004F6305" w:rsidRPr="006075D2" w:rsidRDefault="004F6305" w:rsidP="004F6305">
      <w:pPr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повышение отдачи сельскохозяйственных отраслей за счёт интенсификации производства (внесение удобрений, орошение, повышение породности стада, механизации производственных процессов);</w:t>
      </w:r>
    </w:p>
    <w:p w:rsidR="004F6305" w:rsidRPr="006075D2" w:rsidRDefault="004F6305" w:rsidP="004F6305">
      <w:pPr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организация потребительского кредитования для приобретения владельцами личных подворий   средств механизации сельскохозяйственных работ, племенного скота, кормов и т.п.</w:t>
      </w:r>
    </w:p>
    <w:p w:rsidR="004F6305" w:rsidRPr="006075D2" w:rsidRDefault="004F6305" w:rsidP="004F6305">
      <w:pPr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освоение пустующих земель и животноводческих стоянок;</w:t>
      </w:r>
    </w:p>
    <w:p w:rsidR="004F6305" w:rsidRPr="006075D2" w:rsidRDefault="004F6305" w:rsidP="004F6305">
      <w:pPr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 xml:space="preserve">организация сбыта производимой сельскохозяйственной продукции; </w:t>
      </w:r>
    </w:p>
    <w:p w:rsidR="004F6305" w:rsidRPr="006075D2" w:rsidRDefault="004F6305" w:rsidP="004F6305">
      <w:pPr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организация и реконструкция имеющегося в СПК «Верхне-Талецкий» здания под линию по переработке и розливу в тетрапакеты молока;</w:t>
      </w:r>
    </w:p>
    <w:p w:rsidR="004F6305" w:rsidRPr="006075D2" w:rsidRDefault="004F6305" w:rsidP="004F6305">
      <w:pPr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открытие цеха по переработке мясных полуфабрикатов</w:t>
      </w:r>
    </w:p>
    <w:p w:rsidR="004F6305" w:rsidRPr="006075D2" w:rsidRDefault="004F6305" w:rsidP="004F6305">
      <w:pPr>
        <w:spacing w:after="0"/>
        <w:ind w:left="720"/>
        <w:contextualSpacing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2. Развитие лесоперерабатывающей промышленности</w:t>
      </w:r>
    </w:p>
    <w:p w:rsidR="004F6305" w:rsidRPr="006075D2" w:rsidRDefault="004F6305" w:rsidP="004F6305">
      <w:pPr>
        <w:spacing w:after="0"/>
        <w:ind w:left="720"/>
        <w:contextualSpacing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3. Развитие придорожного сервиса: Перевод 4 земельных участков сельскохозяйственного назначения, находящихся в местности «Шанатский», используемых для организации закусочных и шиномонтажа, в земли промышленности, энергетики, транспорта, связи и т.д.</w:t>
      </w:r>
    </w:p>
    <w:p w:rsidR="004F6305" w:rsidRPr="006075D2" w:rsidRDefault="004F6305" w:rsidP="004F6305">
      <w:pPr>
        <w:spacing w:after="0"/>
        <w:ind w:left="720"/>
        <w:contextualSpacing/>
        <w:jc w:val="both"/>
        <w:rPr>
          <w:rFonts w:ascii="Times New Roman CYR" w:eastAsia="Times New Roman" w:hAnsi="Times New Roman CYR" w:cs="Times New Roman"/>
          <w:sz w:val="28"/>
          <w:szCs w:val="28"/>
          <w:highlight w:val="yellow"/>
        </w:rPr>
      </w:pPr>
    </w:p>
    <w:p w:rsidR="004F6305" w:rsidRPr="006075D2" w:rsidRDefault="004F6305" w:rsidP="004F6305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Arial"/>
          <w:b/>
          <w:b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/>
          <w:bCs/>
          <w:sz w:val="28"/>
          <w:szCs w:val="28"/>
        </w:rPr>
        <w:t xml:space="preserve">Перечень земельных участков, переводимых в </w:t>
      </w:r>
      <w:r w:rsidRPr="006075D2">
        <w:rPr>
          <w:rFonts w:ascii="Times New Roman CYR" w:eastAsia="Times New Roman" w:hAnsi="Times New Roman CYR" w:cs="Arial"/>
          <w:b/>
          <w:bCs/>
          <w:sz w:val="28"/>
          <w:szCs w:val="28"/>
        </w:rPr>
        <w:t>земли промышленности, энергетики,</w:t>
      </w:r>
    </w:p>
    <w:p w:rsidR="004F6305" w:rsidRPr="006075D2" w:rsidRDefault="004F6305" w:rsidP="004F6305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  <w:highlight w:val="yellow"/>
        </w:rPr>
      </w:pPr>
      <w:r w:rsidRPr="006075D2">
        <w:rPr>
          <w:rFonts w:ascii="Times New Roman CYR" w:eastAsia="Times New Roman" w:hAnsi="Times New Roman CYR" w:cs="Arial"/>
          <w:b/>
          <w:bCs/>
          <w:sz w:val="28"/>
          <w:szCs w:val="28"/>
        </w:rPr>
        <w:lastRenderedPageBreak/>
        <w:t xml:space="preserve">транспорта, связи, радиовещания, телевидения, информатики, земли для обеспечения космической деятельности, земли обороны, безопасности </w:t>
      </w:r>
      <w:r w:rsidRPr="006075D2">
        <w:rPr>
          <w:rFonts w:ascii="Times New Roman CYR" w:eastAsia="Times New Roman" w:hAnsi="Times New Roman CYR" w:cs="Times New Roman"/>
          <w:b/>
          <w:sz w:val="28"/>
          <w:szCs w:val="28"/>
        </w:rPr>
        <w:t>и земли иного специального назначения</w:t>
      </w:r>
    </w:p>
    <w:tbl>
      <w:tblPr>
        <w:tblW w:w="9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1985"/>
        <w:gridCol w:w="2534"/>
        <w:gridCol w:w="2534"/>
        <w:gridCol w:w="2534"/>
      </w:tblGrid>
      <w:tr w:rsidR="004F6305" w:rsidRPr="006075D2" w:rsidTr="00526F1A">
        <w:trPr>
          <w:trHeight w:val="511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Кадастровый номер земельного участка, площадь, кв.м.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Категория земель существующая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4F6305" w:rsidRPr="006075D2" w:rsidTr="00526F1A">
        <w:trPr>
          <w:trHeight w:val="54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По классификатору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305" w:rsidRPr="006075D2" w:rsidRDefault="004F6305" w:rsidP="004F6305">
            <w:pPr>
              <w:keepNext/>
              <w:keepLines/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По документу</w:t>
            </w:r>
          </w:p>
        </w:tc>
      </w:tr>
      <w:tr w:rsidR="004F6305" w:rsidRPr="006075D2" w:rsidTr="00526F1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05" w:rsidRPr="006075D2" w:rsidRDefault="004F6305" w:rsidP="004F63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03:21:350101:324, 1512,0 кв.м.</w:t>
            </w:r>
          </w:p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закусочная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назначения</w:t>
            </w:r>
          </w:p>
        </w:tc>
      </w:tr>
      <w:tr w:rsidR="004F6305" w:rsidRPr="006075D2" w:rsidTr="00526F1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05" w:rsidRPr="006075D2" w:rsidRDefault="004F6305" w:rsidP="004F63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03:21:350101:325, 651,0 кв.м. </w:t>
            </w:r>
          </w:p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закусочная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назначения</w:t>
            </w:r>
          </w:p>
        </w:tc>
      </w:tr>
      <w:tr w:rsidR="004F6305" w:rsidRPr="006075D2" w:rsidTr="00526F1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05" w:rsidRPr="006075D2" w:rsidRDefault="004F6305" w:rsidP="004F63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03:21:310131:179, 745,0 кв.м. </w:t>
            </w:r>
          </w:p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закусочная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назначения</w:t>
            </w:r>
          </w:p>
        </w:tc>
      </w:tr>
      <w:tr w:rsidR="004F6305" w:rsidRPr="006075D2" w:rsidTr="00526F1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05" w:rsidRPr="006075D2" w:rsidRDefault="004F6305" w:rsidP="004F63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03:21:310131:178, 1024,0 кв.м.</w:t>
            </w:r>
          </w:p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шиномонтаж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305" w:rsidRPr="006075D2" w:rsidRDefault="004F6305" w:rsidP="004F6305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075D2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для сельскохозяйственного назначения</w:t>
            </w:r>
          </w:p>
        </w:tc>
      </w:tr>
    </w:tbl>
    <w:p w:rsidR="00025D3B" w:rsidRPr="006075D2" w:rsidRDefault="00025D3B" w:rsidP="004F6305">
      <w:pPr>
        <w:jc w:val="center"/>
        <w:rPr>
          <w:rFonts w:ascii="Times New Roman CYR" w:hAnsi="Times New Roman CYR"/>
          <w:sz w:val="28"/>
          <w:szCs w:val="28"/>
        </w:rPr>
      </w:pPr>
    </w:p>
    <w:p w:rsidR="00651D04" w:rsidRPr="006075D2" w:rsidRDefault="00651D04" w:rsidP="00651D04">
      <w:pPr>
        <w:spacing w:after="0"/>
        <w:ind w:firstLine="709"/>
        <w:contextualSpacing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3.1. Развитие социальной сферы </w:t>
      </w:r>
    </w:p>
    <w:p w:rsidR="00651D04" w:rsidRPr="006075D2" w:rsidRDefault="00651D04" w:rsidP="00777111">
      <w:pPr>
        <w:spacing w:after="0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color w:val="000000"/>
          <w:sz w:val="28"/>
          <w:szCs w:val="28"/>
        </w:rPr>
        <w:t>Развитие и совершенствование сферы обслуживания – непременное условие устойчивого развития населенных пунктов, способствующее принципиальному улучшению жизни населения.</w:t>
      </w:r>
    </w:p>
    <w:p w:rsidR="00651D04" w:rsidRPr="006075D2" w:rsidRDefault="00651D04" w:rsidP="00777111">
      <w:pPr>
        <w:spacing w:after="0"/>
        <w:ind w:firstLine="709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Степень социальной зрелости каждого поселения, включая малочисленные, определяется наличием в нем полной номенклатуры объектов в указанных областях обслуживания на уровне, соответствующем его типологии, численности и месту в системе расселения.</w:t>
      </w:r>
    </w:p>
    <w:p w:rsidR="00651D04" w:rsidRPr="006075D2" w:rsidRDefault="00651D04" w:rsidP="00777111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Нормативная база для определения номенклатуры и объемов культурно-бытового строительства формируется на основе СНиП 2.07.01-89* «Градостроительство. Планировка и застройка городских и сельских поселений».</w:t>
      </w:r>
      <w:r w:rsidR="00777111" w:rsidRPr="006075D2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</w:p>
    <w:p w:rsidR="00777111" w:rsidRPr="006075D2" w:rsidRDefault="00777111" w:rsidP="00777111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Проектируемые объекты соцкультбыта на территории поселения: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lastRenderedPageBreak/>
        <w:t xml:space="preserve">Улус Додо-Гол 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 xml:space="preserve">– магазин смешанной торговли на 70 кв.м. торговой площади (объемы строительства – 470 куб.м., площадь – 157 кв.м.); 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>- аптечный пункт (объемы строительства – 210 куб.м., площадь – 70 кв.м.);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>- библиотека (в здании культурно-спортивного комплекса)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>Село Верхние Тальцы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>- Больница (объемы строительства – 660 куб.м., площадь – 330 кв.м.)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>- Дом Быта (объемы строительства – 642 куб.м., площадь – 214 кв.м.)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>- Церковь</w:t>
      </w:r>
    </w:p>
    <w:p w:rsidR="00777111" w:rsidRPr="006075D2" w:rsidRDefault="00777111" w:rsidP="00777111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>- Автовокзал</w:t>
      </w:r>
    </w:p>
    <w:p w:rsidR="00777111" w:rsidRPr="006075D2" w:rsidRDefault="00777111" w:rsidP="00777111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777111" w:rsidRPr="006075D2" w:rsidRDefault="00777111" w:rsidP="00777111">
      <w:pPr>
        <w:spacing w:after="0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/>
          <w:sz w:val="28"/>
          <w:szCs w:val="28"/>
        </w:rPr>
        <w:t>3.2. Предложения по функциональному зонированию</w:t>
      </w:r>
    </w:p>
    <w:p w:rsidR="00EB4D30" w:rsidRPr="006075D2" w:rsidRDefault="00EB4D30" w:rsidP="00EB4D30">
      <w:pPr>
        <w:widowControl w:val="0"/>
        <w:spacing w:after="0"/>
        <w:ind w:right="-39"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Планировочная организация территории призвана обеспечить компактное размещение и взаимосвязь функциональных зон; рациональное районирование территории в увязке с системой общественных центров, инженерно-транспортной инфраструктурой; эффективное использование территории в зависимости от её градостроительной ценности; комплексный учет архитектурно-градостроительных традиций, природно-климатических, ландшафтных, национально-бытовых и других местных особенностей; охрану окружающей среды, памятников истории и культуры и создать, в итоге, предпосылки для гармоничного и устойчивого развития территории.</w:t>
      </w:r>
    </w:p>
    <w:p w:rsidR="00EB4D30" w:rsidRPr="006075D2" w:rsidRDefault="00EB4D30" w:rsidP="00EB4D30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>Генеральный план предусматривает дальнейшее развитие существующей территориально-планировочной структуры в увязке со вновь осваиваемыми территориями, комплексное решение экологических и градостроительных задач, развитие</w:t>
      </w:r>
      <w:r w:rsidRPr="006075D2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инженерной и транспортной инфраструктуры</w:t>
      </w:r>
      <w:r w:rsidRPr="006075D2">
        <w:rPr>
          <w:rFonts w:ascii="Times New Roman CYR" w:eastAsia="Times New Roman" w:hAnsi="Times New Roman CYR" w:cs="Times New Roman"/>
          <w:sz w:val="28"/>
          <w:szCs w:val="28"/>
        </w:rPr>
        <w:t xml:space="preserve">.. </w:t>
      </w:r>
    </w:p>
    <w:p w:rsidR="00EB4D30" w:rsidRPr="006075D2" w:rsidRDefault="00EB4D30" w:rsidP="00EB4D30">
      <w:pPr>
        <w:spacing w:after="0"/>
        <w:ind w:firstLine="709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/>
          <w:sz w:val="28"/>
          <w:szCs w:val="28"/>
        </w:rPr>
        <w:t>Село Верхние Тальцы</w:t>
      </w:r>
      <w:r w:rsidRPr="006075D2">
        <w:rPr>
          <w:rFonts w:ascii="Times New Roman CYR" w:hAnsi="Times New Roman CYR"/>
          <w:b/>
          <w:sz w:val="28"/>
          <w:szCs w:val="28"/>
        </w:rPr>
        <w:t xml:space="preserve">. </w:t>
      </w:r>
      <w:r w:rsidRPr="006075D2">
        <w:rPr>
          <w:rFonts w:ascii="Times New Roman CYR" w:eastAsia="Times New Roman" w:hAnsi="Times New Roman CYR" w:cs="Times New Roman"/>
          <w:sz w:val="28"/>
          <w:szCs w:val="28"/>
        </w:rPr>
        <w:t xml:space="preserve">Генеральным планом предлагается упорядочение общественно-деловой зоны и размещение на данных территориях недостающих объектов.      </w:t>
      </w:r>
    </w:p>
    <w:p w:rsidR="00EB4D30" w:rsidRPr="006075D2" w:rsidRDefault="00EB4D30" w:rsidP="00EB4D30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 xml:space="preserve">Увеличение территории жилых зон в селе </w:t>
      </w:r>
      <w:r w:rsidRPr="006075D2">
        <w:rPr>
          <w:rFonts w:ascii="Times New Roman CYR" w:eastAsia="Times New Roman" w:hAnsi="Times New Roman CYR" w:cs="Times New Roman"/>
          <w:sz w:val="28"/>
          <w:szCs w:val="28"/>
        </w:rPr>
        <w:t>Верхние Тальцы</w:t>
      </w: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t xml:space="preserve"> предполагается за счет свободных участков внутри селитебной территории, зон природного ландшафта по улице Кучумова.</w:t>
      </w:r>
    </w:p>
    <w:p w:rsidR="00777111" w:rsidRPr="006075D2" w:rsidRDefault="00EB4D30" w:rsidP="00EB4D30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sz w:val="28"/>
          <w:szCs w:val="28"/>
        </w:rPr>
        <w:t xml:space="preserve">Существующие производственные предприятия в селе, расположенные с учетом санитарно-защитных зон, генеральным планом сохраняются на своих территориях, </w:t>
      </w:r>
      <w:r w:rsidRPr="006075D2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при условии проведения мероприятий по сокращению вредного воздействия на окружающую среду.</w:t>
      </w:r>
    </w:p>
    <w:p w:rsidR="00EB4D30" w:rsidRPr="006075D2" w:rsidRDefault="00EB4D30" w:rsidP="00EB4D30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/>
          <w:sz w:val="28"/>
          <w:szCs w:val="28"/>
        </w:rPr>
        <w:t>Улус Додо-Гол</w:t>
      </w:r>
      <w:r w:rsidRPr="006075D2">
        <w:rPr>
          <w:rFonts w:ascii="Times New Roman CYR" w:hAnsi="Times New Roman CYR"/>
          <w:b/>
          <w:sz w:val="28"/>
          <w:szCs w:val="28"/>
        </w:rPr>
        <w:t xml:space="preserve">. </w:t>
      </w:r>
      <w:r w:rsidRPr="006075D2">
        <w:rPr>
          <w:rFonts w:ascii="Times New Roman CYR" w:eastAsia="Times New Roman" w:hAnsi="Times New Roman CYR" w:cs="Times New Roman"/>
          <w:sz w:val="28"/>
          <w:szCs w:val="28"/>
        </w:rPr>
        <w:t xml:space="preserve">Генеральным планом предлагается упорядочение общественно-деловой зоны и размещение на данных территориях недостающих объектов.      </w:t>
      </w:r>
    </w:p>
    <w:p w:rsidR="00EB4D30" w:rsidRPr="006075D2" w:rsidRDefault="00EB4D30" w:rsidP="00EB4D30">
      <w:pPr>
        <w:tabs>
          <w:tab w:val="left" w:pos="43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"/>
          <w:bCs/>
          <w:iCs/>
          <w:sz w:val="28"/>
          <w:szCs w:val="28"/>
        </w:rPr>
      </w:pPr>
      <w:r w:rsidRPr="006075D2">
        <w:rPr>
          <w:rFonts w:ascii="Times New Roman CYR" w:eastAsia="Times New Roman" w:hAnsi="Times New Roman CYR" w:cs="Times New Roman"/>
          <w:bCs/>
          <w:iCs/>
          <w:sz w:val="28"/>
          <w:szCs w:val="28"/>
        </w:rPr>
        <w:lastRenderedPageBreak/>
        <w:t xml:space="preserve">Увеличение территории жилых зон в селе Додо-Гол предполагается за счет свободных участков внутри селитебной территории, зон природного ландшафта по улицам Советская и Новая. </w:t>
      </w:r>
    </w:p>
    <w:p w:rsidR="00777111" w:rsidRPr="006075D2" w:rsidRDefault="00777111" w:rsidP="00EB4D30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777111" w:rsidRPr="006075D2" w:rsidRDefault="00777111" w:rsidP="00EB4D30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777111" w:rsidRPr="006075D2" w:rsidRDefault="00777111" w:rsidP="00777111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sectPr w:rsidR="00777111" w:rsidRPr="006075D2" w:rsidSect="00651D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E33"/>
    <w:multiLevelType w:val="hybridMultilevel"/>
    <w:tmpl w:val="BF74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3432"/>
    <w:multiLevelType w:val="hybridMultilevel"/>
    <w:tmpl w:val="B2B0BE76"/>
    <w:lvl w:ilvl="0" w:tplc="98C2CB6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>
    <w:nsid w:val="6166552B"/>
    <w:multiLevelType w:val="hybridMultilevel"/>
    <w:tmpl w:val="25EC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B5859"/>
    <w:multiLevelType w:val="hybridMultilevel"/>
    <w:tmpl w:val="3DD69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4F6305"/>
    <w:rsid w:val="00025D3B"/>
    <w:rsid w:val="004F6305"/>
    <w:rsid w:val="006075D2"/>
    <w:rsid w:val="00651D04"/>
    <w:rsid w:val="00777111"/>
    <w:rsid w:val="00CC6DD8"/>
    <w:rsid w:val="00E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6320</Characters>
  <Application>Microsoft Office Word</Application>
  <DocSecurity>0</DocSecurity>
  <Lines>52</Lines>
  <Paragraphs>14</Paragraphs>
  <ScaleCrop>false</ScaleCrop>
  <Company>.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2</cp:revision>
  <dcterms:created xsi:type="dcterms:W3CDTF">2014-01-16T01:09:00Z</dcterms:created>
  <dcterms:modified xsi:type="dcterms:W3CDTF">2014-01-16T01:09:00Z</dcterms:modified>
</cp:coreProperties>
</file>