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B2">
        <w:rPr>
          <w:rFonts w:ascii="Times New Roman" w:hAnsi="Times New Roman" w:cs="Times New Roman"/>
          <w:b/>
          <w:sz w:val="28"/>
          <w:szCs w:val="28"/>
        </w:rPr>
        <w:t>В Бурятии стали реже отказывать при постановке на кадастровый учет</w:t>
      </w:r>
    </w:p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По состоянию на 1 июня текущего года, доля заявлений о постановке на кадастровый учет, рассмотрение которых приостановлено, составляет 3,02%, а доля заявлений, по которым приняты решения об отказе – 1,7%.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- В сравнении с аналогичным периодом предыдущего года количество решений о приостановлениях снизилось на 15%</w:t>
      </w:r>
      <w:r w:rsidR="00E8705D">
        <w:rPr>
          <w:rFonts w:ascii="Times New Roman" w:hAnsi="Times New Roman" w:cs="Times New Roman"/>
          <w:sz w:val="28"/>
          <w:szCs w:val="28"/>
        </w:rPr>
        <w:t xml:space="preserve">, об отказах – на 9%, - сообщил </w:t>
      </w:r>
      <w:r w:rsidRPr="00537BB2">
        <w:rPr>
          <w:rFonts w:ascii="Times New Roman" w:hAnsi="Times New Roman" w:cs="Times New Roman"/>
          <w:sz w:val="28"/>
          <w:szCs w:val="28"/>
        </w:rPr>
        <w:t>ЖаргалРинчинов, главный технолог и заместитель директора Кадастровой палаты по Бурятии.</w:t>
      </w:r>
    </w:p>
    <w:p w:rsidR="00537BB2" w:rsidRPr="00537BB2" w:rsidRDefault="00537BB2" w:rsidP="00537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ab/>
        <w:t xml:space="preserve">В большинстве случаев причинами решений об отказе и приостановлениях являются основания, прописанные в статье 26 Закона о государственной регистрации недвижимости. 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К примеру, если форма и содержание документа, представленного для постановки на кадастровый учет, не соответствуют требованиям законодательства, или при установлении границ земельного участка нарушен порядок согласования местоположения с границами других земельных участков.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>- Мониторинг принятых отрицательных решений, проведение лекций, семинаров по вопросам изменения нормативно-правовых актов в сфере государственного кадастрового учета и регистрации прав, а также анализ ошибок при приеме документов, все эти мероприятия способствуют снижению приостановок и отказов при проведении кадастрового учета объектов недвижимости, - пояснил главный технолог учреждения.</w:t>
      </w:r>
    </w:p>
    <w:p w:rsidR="00537BB2" w:rsidRPr="00537BB2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t xml:space="preserve">Отметим, Правительством РФ в начале 2017 года утверждены 12 целевых моделей упрощения процедур ведения бизнеса и повышения инвестиционной привлекательности субъектов РФ. Филиал Кадастровой палаты по Бурятии принял активное участие в разработке целевой модели по кадастровому учёту «Постановка на кадастровый учет земельных участков и объектов недвижимого имущества». </w:t>
      </w:r>
    </w:p>
    <w:p w:rsidR="0019252A" w:rsidRDefault="00537BB2" w:rsidP="00537B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B2">
        <w:rPr>
          <w:rFonts w:ascii="Times New Roman" w:hAnsi="Times New Roman" w:cs="Times New Roman"/>
          <w:sz w:val="28"/>
          <w:szCs w:val="28"/>
        </w:rPr>
        <w:lastRenderedPageBreak/>
        <w:t>С целью снижения административных барьеров установлены ежегодные целевые показатели на период их реализации, в том числе определена необходимость сокращения</w:t>
      </w:r>
      <w:r w:rsidR="00A31200">
        <w:rPr>
          <w:rFonts w:ascii="Times New Roman" w:hAnsi="Times New Roman" w:cs="Times New Roman"/>
          <w:sz w:val="28"/>
          <w:szCs w:val="28"/>
        </w:rPr>
        <w:t xml:space="preserve"> количества решений о приостановлениях и отказах при проведении регистрации прав и кадастрового учета</w:t>
      </w:r>
      <w:r w:rsidRPr="00537BB2">
        <w:rPr>
          <w:rFonts w:ascii="Times New Roman" w:hAnsi="Times New Roman" w:cs="Times New Roman"/>
          <w:sz w:val="28"/>
          <w:szCs w:val="28"/>
        </w:rPr>
        <w:t>. По данной целевой модели  на 2018-2019 года количество решений о приостановлениях и отказах при проведении кадастрового учета должно сос</w:t>
      </w:r>
      <w:bookmarkStart w:id="0" w:name="_GoBack"/>
      <w:bookmarkEnd w:id="0"/>
      <w:r w:rsidRPr="00537BB2">
        <w:rPr>
          <w:rFonts w:ascii="Times New Roman" w:hAnsi="Times New Roman" w:cs="Times New Roman"/>
          <w:sz w:val="28"/>
          <w:szCs w:val="28"/>
        </w:rPr>
        <w:t>тавить не более 18% и 10% соответственно.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B2" w:rsidRPr="0019252A" w:rsidRDefault="00537BB2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684D5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CE" w:rsidRDefault="00290CCE" w:rsidP="000F6087">
      <w:pPr>
        <w:spacing w:after="0" w:line="240" w:lineRule="auto"/>
      </w:pPr>
      <w:r>
        <w:separator/>
      </w:r>
    </w:p>
  </w:endnote>
  <w:endnote w:type="continuationSeparator" w:id="1">
    <w:p w:rsidR="00290CCE" w:rsidRDefault="00290CC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CE" w:rsidRDefault="00290CCE" w:rsidP="000F6087">
      <w:pPr>
        <w:spacing w:after="0" w:line="240" w:lineRule="auto"/>
      </w:pPr>
      <w:r>
        <w:separator/>
      </w:r>
    </w:p>
  </w:footnote>
  <w:footnote w:type="continuationSeparator" w:id="1">
    <w:p w:rsidR="00290CCE" w:rsidRDefault="00290CC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463BD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0CCE"/>
    <w:rsid w:val="00292E6A"/>
    <w:rsid w:val="00294107"/>
    <w:rsid w:val="00303BBB"/>
    <w:rsid w:val="003272CE"/>
    <w:rsid w:val="00370B45"/>
    <w:rsid w:val="003735CD"/>
    <w:rsid w:val="003B2121"/>
    <w:rsid w:val="003B747F"/>
    <w:rsid w:val="00455C72"/>
    <w:rsid w:val="004743C8"/>
    <w:rsid w:val="00537915"/>
    <w:rsid w:val="00537BB2"/>
    <w:rsid w:val="00556A59"/>
    <w:rsid w:val="00556B62"/>
    <w:rsid w:val="0056098B"/>
    <w:rsid w:val="00567374"/>
    <w:rsid w:val="00587314"/>
    <w:rsid w:val="005A349A"/>
    <w:rsid w:val="005B7CAA"/>
    <w:rsid w:val="005D2B58"/>
    <w:rsid w:val="00606BF2"/>
    <w:rsid w:val="00684D5F"/>
    <w:rsid w:val="006E53B6"/>
    <w:rsid w:val="00705980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31200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8705D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2018-06-26T00:46:00Z</dcterms:created>
  <dcterms:modified xsi:type="dcterms:W3CDTF">2018-06-26T00:46:00Z</dcterms:modified>
</cp:coreProperties>
</file>